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BE" w:rsidRDefault="0018104C" w:rsidP="001B18BE">
      <w:pPr>
        <w:spacing w:line="180" w:lineRule="atLeast"/>
        <w:ind w:right="-120"/>
        <w:rPr>
          <w:rFonts w:ascii="Arial" w:hAnsi="Arial"/>
          <w:caps/>
          <w:color w:val="50155A"/>
          <w:sz w:val="16"/>
          <w:szCs w:val="16"/>
        </w:rPr>
      </w:pPr>
      <w:r w:rsidRPr="00335026">
        <w:rPr>
          <w:noProof/>
          <w:color w:val="7030A0"/>
        </w:rPr>
        <w:drawing>
          <wp:inline distT="0" distB="0" distL="0" distR="0">
            <wp:extent cx="1162050" cy="1085850"/>
            <wp:effectExtent l="0" t="0" r="0" b="0"/>
            <wp:docPr id="1" name="Picture 1" descr="courts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ts logo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424" w:rsidRPr="00072369">
        <w:rPr>
          <w:color w:val="7030A0"/>
        </w:rPr>
        <w:t xml:space="preserve"> </w:t>
      </w:r>
      <w:r w:rsidR="00AA4424">
        <w:tab/>
      </w:r>
      <w:r w:rsidR="00AA4424">
        <w:tab/>
      </w:r>
      <w:r w:rsidR="00AA4424">
        <w:tab/>
      </w:r>
      <w:r w:rsidR="00AA4424">
        <w:tab/>
      </w:r>
      <w:r w:rsidR="00AA4424">
        <w:tab/>
      </w:r>
      <w:r w:rsidR="00AA4424">
        <w:tab/>
      </w:r>
      <w:r w:rsidR="00545879">
        <w:tab/>
      </w:r>
      <w:r w:rsidR="00545879">
        <w:tab/>
      </w:r>
      <w:r w:rsidR="00545879" w:rsidRPr="00E370E1">
        <w:rPr>
          <w:color w:val="5A2057"/>
        </w:rPr>
        <w:t xml:space="preserve"> </w:t>
      </w:r>
      <w:r w:rsidR="00545879" w:rsidRPr="00E370E1">
        <w:rPr>
          <w:color w:val="50155A"/>
        </w:rPr>
        <w:t xml:space="preserve">   </w:t>
      </w:r>
      <w:r w:rsidR="00E4285E" w:rsidRPr="00E370E1">
        <w:rPr>
          <w:color w:val="50155A"/>
        </w:rPr>
        <w:t xml:space="preserve"> </w:t>
      </w:r>
      <w:r w:rsidR="00545879" w:rsidRPr="00E370E1">
        <w:rPr>
          <w:rFonts w:ascii="Arial" w:hAnsi="Arial"/>
          <w:caps/>
          <w:color w:val="50155A"/>
          <w:sz w:val="16"/>
          <w:szCs w:val="16"/>
        </w:rPr>
        <w:t>admin</w:t>
      </w:r>
      <w:r w:rsidR="00B33AFE" w:rsidRPr="00E370E1">
        <w:rPr>
          <w:rFonts w:ascii="Arial" w:hAnsi="Arial"/>
          <w:caps/>
          <w:color w:val="50155A"/>
          <w:sz w:val="16"/>
          <w:szCs w:val="16"/>
        </w:rPr>
        <w:t>istrative office of the courts</w:t>
      </w:r>
    </w:p>
    <w:p w:rsidR="001B18BE" w:rsidRPr="001B18BE" w:rsidRDefault="0018104C" w:rsidP="001B18BE">
      <w:pPr>
        <w:spacing w:line="180" w:lineRule="atLeast"/>
        <w:ind w:right="-120"/>
        <w:rPr>
          <w:rFonts w:ascii="Arial" w:hAnsi="Arial"/>
          <w:caps/>
          <w:color w:val="50155A"/>
          <w:sz w:val="16"/>
          <w:szCs w:val="16"/>
        </w:rPr>
        <w:sectPr w:rsidR="001B18BE" w:rsidRPr="001B18BE" w:rsidSect="007C1FBF">
          <w:headerReference w:type="default" r:id="rId9"/>
          <w:footerReference w:type="default" r:id="rId10"/>
          <w:pgSz w:w="12240" w:h="15840" w:code="1"/>
          <w:pgMar w:top="720" w:right="720" w:bottom="720" w:left="720" w:header="720" w:footer="288" w:gutter="0"/>
          <w:cols w:space="720"/>
          <w:titlePg/>
          <w:docGrid w:linePitch="360"/>
        </w:sectPr>
      </w:pPr>
      <w:r w:rsidRPr="00335026">
        <w:rPr>
          <w:noProof/>
          <w:color w:val="50155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22225</wp:posOffset>
                </wp:positionV>
                <wp:extent cx="6789420" cy="0"/>
                <wp:effectExtent l="11430" t="10160" r="9525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F085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mGGwIAADMEAAAOAAAAZHJzL2Uyb0RvYy54bWysU9uO2yAQfa/Uf0C8J77UyS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I5Ror0&#10;0KInoTjKojSDcSVE1GpjQ3H0qJ7Nk6bfHFK67oja8Ujx5WQgLwtiJq9SwsYZuGA7fNIMYsje66jT&#10;sbU9aqUwH0NiAAct0DE25nRrDD96ROFw+jCbFzn0j159CSkDREg01vkPXPcoGBWWQD8CksOT84HS&#10;r5AQrvRaSBn7LhUaKjyf5JOY4LQULDhDmLO7bS0tOpAwOfGL9YHnPszqvWIRrOOErS62J0Kebbhc&#10;qoAHpQCdi3Ueje/zdL6arWbFqMinq1GRNs3o/bouRtN19jBp3jV13WQ/ArWsKDvBGFeB3XVMs+Lv&#10;xuDyYM4DdhvUmwzJa/SoF5C9/iPp2NXQyPCuXLnV7LSx127DZMbgyysKo3+/B/v+rS9/AgAA//8D&#10;AFBLAwQUAAYACAAAACEAfmb/SdoAAAAHAQAADwAAAGRycy9kb3ducmV2LnhtbEyPwU7DMBBE70j9&#10;B2srcaM2rUAlxKmqqnBBQqIEzk68JBH2OordNPw9Wy70ODurmTf5ZvJOjDjELpCG24UCgVQH21Gj&#10;oXx/ulmDiMmQNS4QavjBCJtidpWbzIYTveF4SI3gEIqZ0dCm1GdSxrpFb+Ii9EjsfYXBm8RyaKQd&#10;zInDvZNLpe6lNx1xQ2t63LVYfx+OXsP282W/eh0rH5x9aMoP60v1vNT6ej5tH0EknNL/M5zxGR0K&#10;ZqrCkWwUjrVi8qRhdQfibKu14m3V30EWubzkL34BAAD//wMAUEsBAi0AFAAGAAgAAAAhALaDOJL+&#10;AAAA4QEAABMAAAAAAAAAAAAAAAAAAAAAAFtDb250ZW50X1R5cGVzXS54bWxQSwECLQAUAAYACAAA&#10;ACEAOP0h/9YAAACUAQAACwAAAAAAAAAAAAAAAAAvAQAAX3JlbHMvLnJlbHNQSwECLQAUAAYACAAA&#10;ACEA37jJhhsCAAAzBAAADgAAAAAAAAAAAAAAAAAuAgAAZHJzL2Uyb0RvYy54bWxQSwECLQAUAAYA&#10;CAAAACEAfmb/SdoAAAAHAQAADwAAAAAAAAAAAAAAAAB1BAAAZHJzL2Rvd25yZXYueG1sUEsFBgAA&#10;AAAEAAQA8wAAAHwFAAAAAA==&#10;"/>
            </w:pict>
          </mc:Fallback>
        </mc:AlternateContent>
      </w:r>
    </w:p>
    <w:p w:rsidR="001B18BE" w:rsidRDefault="001B18BE" w:rsidP="001B18BE">
      <w:pPr>
        <w:rPr>
          <w:rFonts w:ascii="Arial" w:hAnsi="Arial" w:cs="Arial"/>
        </w:rPr>
      </w:pPr>
    </w:p>
    <w:p w:rsidR="007C1FBF" w:rsidRPr="007C1FBF" w:rsidRDefault="007C1FBF" w:rsidP="007C1FBF">
      <w:pPr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>June 29, 2018</w:t>
      </w:r>
      <w:r w:rsidRPr="007C1FBF">
        <w:rPr>
          <w:rFonts w:ascii="Arial" w:eastAsia="Calibri" w:hAnsi="Arial" w:cs="Arial"/>
        </w:rPr>
        <w:br/>
      </w:r>
      <w:r w:rsidRPr="007C1FBF">
        <w:rPr>
          <w:rFonts w:ascii="Arial" w:eastAsia="Calibri" w:hAnsi="Arial" w:cs="Arial"/>
        </w:rPr>
        <w:br/>
      </w:r>
    </w:p>
    <w:p w:rsidR="007C1FBF" w:rsidRPr="007C1FBF" w:rsidRDefault="007C1FBF" w:rsidP="007C1FBF">
      <w:pPr>
        <w:spacing w:line="360" w:lineRule="auto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  <w:b/>
        </w:rPr>
        <w:t>TO:</w:t>
      </w:r>
      <w:r w:rsidRPr="007C1FBF">
        <w:rPr>
          <w:rFonts w:ascii="Arial" w:eastAsia="Calibri" w:hAnsi="Arial" w:cs="Arial"/>
        </w:rPr>
        <w:tab/>
      </w:r>
      <w:r w:rsidRPr="007C1FBF">
        <w:rPr>
          <w:rFonts w:ascii="Arial" w:eastAsia="Calibri" w:hAnsi="Arial" w:cs="Arial"/>
        </w:rPr>
        <w:tab/>
        <w:t>Judicial and Legal Communities</w:t>
      </w:r>
    </w:p>
    <w:p w:rsidR="007C1FBF" w:rsidRPr="007C1FBF" w:rsidRDefault="007C1FBF" w:rsidP="007C1FBF">
      <w:pPr>
        <w:spacing w:line="360" w:lineRule="auto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  <w:b/>
        </w:rPr>
        <w:t>FROM:</w:t>
      </w:r>
      <w:r w:rsidRPr="007C1FBF">
        <w:rPr>
          <w:rFonts w:ascii="Arial" w:eastAsia="Calibri" w:hAnsi="Arial" w:cs="Arial"/>
          <w:b/>
        </w:rPr>
        <w:tab/>
      </w:r>
      <w:r w:rsidRPr="007C1FBF">
        <w:rPr>
          <w:rFonts w:ascii="Arial" w:eastAsia="Calibri" w:hAnsi="Arial" w:cs="Arial"/>
        </w:rPr>
        <w:t>Merrie Gough, Sr. Legal Analyst</w:t>
      </w:r>
    </w:p>
    <w:p w:rsidR="007C1FBF" w:rsidRPr="007C1FBF" w:rsidRDefault="007C1FBF" w:rsidP="007C1FBF">
      <w:pPr>
        <w:tabs>
          <w:tab w:val="left" w:pos="1440"/>
        </w:tabs>
        <w:ind w:left="1440" w:hanging="144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  <w:b/>
        </w:rPr>
        <w:t>RE:</w:t>
      </w:r>
      <w:r w:rsidRPr="007C1FBF">
        <w:rPr>
          <w:rFonts w:ascii="Arial" w:eastAsia="Calibri" w:hAnsi="Arial" w:cs="Arial"/>
        </w:rPr>
        <w:tab/>
        <w:t>Draft Updates to the 71.05 RCW Involuntary Civil Commitment Orders</w:t>
      </w:r>
    </w:p>
    <w:p w:rsidR="007C1FBF" w:rsidRPr="007C1FBF" w:rsidRDefault="007C1FBF" w:rsidP="007C1FBF">
      <w:pPr>
        <w:rPr>
          <w:rFonts w:ascii="Arial" w:eastAsia="Calibri" w:hAnsi="Arial" w:cs="Arial"/>
        </w:rPr>
      </w:pPr>
    </w:p>
    <w:p w:rsidR="007C1FBF" w:rsidRPr="007C1FBF" w:rsidRDefault="007C1FBF" w:rsidP="007C1FBF">
      <w:pPr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>The Washington Pattern Forms Committee updated the 71.05 RCW Involuntary Civil Commitment Orders.  The updates implement:</w:t>
      </w:r>
    </w:p>
    <w:p w:rsidR="007C1FBF" w:rsidRPr="007C1FBF" w:rsidRDefault="007C1FBF" w:rsidP="007C1FBF">
      <w:pPr>
        <w:numPr>
          <w:ilvl w:val="0"/>
          <w:numId w:val="1"/>
        </w:numPr>
        <w:spacing w:after="8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 xml:space="preserve">Laws of 2018, </w:t>
      </w:r>
      <w:proofErr w:type="spellStart"/>
      <w:r w:rsidRPr="007C1FBF">
        <w:rPr>
          <w:rFonts w:ascii="Arial" w:eastAsia="Calibri" w:hAnsi="Arial" w:cs="Arial"/>
        </w:rPr>
        <w:t>ch.</w:t>
      </w:r>
      <w:proofErr w:type="spellEnd"/>
      <w:r w:rsidRPr="007C1FBF">
        <w:rPr>
          <w:rFonts w:ascii="Arial" w:eastAsia="Calibri" w:hAnsi="Arial" w:cs="Arial"/>
        </w:rPr>
        <w:t xml:space="preserve"> 305 (SSB 6124), Involuntary Commitment Act – Court Hearings by Video, Effective June 7 2018.</w:t>
      </w:r>
    </w:p>
    <w:p w:rsidR="007C1FBF" w:rsidRPr="007C1FBF" w:rsidRDefault="007C1FBF" w:rsidP="007C1FBF">
      <w:pPr>
        <w:numPr>
          <w:ilvl w:val="0"/>
          <w:numId w:val="1"/>
        </w:numPr>
        <w:spacing w:after="8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 xml:space="preserve">Laws of 2018, </w:t>
      </w:r>
      <w:proofErr w:type="spellStart"/>
      <w:r w:rsidRPr="007C1FBF">
        <w:rPr>
          <w:rFonts w:ascii="Arial" w:eastAsia="Calibri" w:hAnsi="Arial" w:cs="Arial"/>
        </w:rPr>
        <w:t>ch.</w:t>
      </w:r>
      <w:proofErr w:type="spellEnd"/>
      <w:r w:rsidRPr="007C1FBF">
        <w:rPr>
          <w:rFonts w:ascii="Arial" w:eastAsia="Calibri" w:hAnsi="Arial" w:cs="Arial"/>
        </w:rPr>
        <w:t xml:space="preserve"> 201 (2ESHB 1388), §§ 3001 - 3037, Behavioral Health Authority – Transfer, Effective July 1, 2018.</w:t>
      </w:r>
    </w:p>
    <w:p w:rsidR="007C1FBF" w:rsidRPr="007C1FBF" w:rsidRDefault="007C1FBF" w:rsidP="007C1FBF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 xml:space="preserve">Laws of 2016, </w:t>
      </w:r>
      <w:proofErr w:type="spellStart"/>
      <w:r w:rsidRPr="007C1FBF">
        <w:rPr>
          <w:rFonts w:ascii="Arial" w:eastAsia="Calibri" w:hAnsi="Arial" w:cs="Arial"/>
        </w:rPr>
        <w:t>ch.</w:t>
      </w:r>
      <w:proofErr w:type="spellEnd"/>
      <w:r w:rsidRPr="007C1FBF">
        <w:rPr>
          <w:rFonts w:ascii="Arial" w:eastAsia="Calibri" w:hAnsi="Arial" w:cs="Arial"/>
        </w:rPr>
        <w:t xml:space="preserve"> 29 (E3SHB 1713), Ricky Garcia’s law effective April 1, 2018.</w:t>
      </w:r>
    </w:p>
    <w:p w:rsidR="007C1FBF" w:rsidRPr="007C1FBF" w:rsidRDefault="007C1FBF" w:rsidP="007C1FBF">
      <w:pPr>
        <w:rPr>
          <w:rFonts w:ascii="Arial" w:eastAsia="Calibri" w:hAnsi="Arial" w:cs="Arial"/>
        </w:rPr>
      </w:pPr>
    </w:p>
    <w:p w:rsidR="007C1FBF" w:rsidRPr="007C1FBF" w:rsidRDefault="007C1FBF" w:rsidP="007C1FBF">
      <w:pPr>
        <w:spacing w:after="12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 xml:space="preserve">Please note:  The transfer of authority, the primary purpose of Laws of 2018, </w:t>
      </w:r>
      <w:proofErr w:type="spellStart"/>
      <w:r w:rsidRPr="007C1FBF">
        <w:rPr>
          <w:rFonts w:ascii="Arial" w:eastAsia="Calibri" w:hAnsi="Arial" w:cs="Arial"/>
        </w:rPr>
        <w:t>ch.</w:t>
      </w:r>
      <w:proofErr w:type="spellEnd"/>
      <w:r w:rsidRPr="007C1FBF">
        <w:rPr>
          <w:rFonts w:ascii="Arial" w:eastAsia="Calibri" w:hAnsi="Arial" w:cs="Arial"/>
        </w:rPr>
        <w:t xml:space="preserve"> 201, can be summarized as follows:</w:t>
      </w:r>
    </w:p>
    <w:p w:rsidR="007C1FBF" w:rsidRPr="007C1FBF" w:rsidRDefault="007C1FBF" w:rsidP="007C1FBF">
      <w:pPr>
        <w:numPr>
          <w:ilvl w:val="0"/>
          <w:numId w:val="2"/>
        </w:numPr>
        <w:spacing w:after="8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>The Health Care Authority is the state’s behavioral health authority;</w:t>
      </w:r>
    </w:p>
    <w:p w:rsidR="007C1FBF" w:rsidRPr="007C1FBF" w:rsidRDefault="007C1FBF" w:rsidP="007C1FBF">
      <w:pPr>
        <w:numPr>
          <w:ilvl w:val="0"/>
          <w:numId w:val="2"/>
        </w:numPr>
        <w:spacing w:after="8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>The Department of Social and Health Services operates the state hospitals; and</w:t>
      </w:r>
    </w:p>
    <w:p w:rsidR="007C1FBF" w:rsidRPr="007C1FBF" w:rsidRDefault="007C1FBF" w:rsidP="007C1FBF">
      <w:pPr>
        <w:numPr>
          <w:ilvl w:val="0"/>
          <w:numId w:val="2"/>
        </w:numPr>
        <w:contextualSpacing/>
        <w:rPr>
          <w:rFonts w:ascii="Arial Narrow" w:eastAsia="Calibri" w:hAnsi="Arial Narrow" w:cs="Arial"/>
          <w:sz w:val="22"/>
          <w:szCs w:val="22"/>
        </w:rPr>
      </w:pPr>
      <w:r w:rsidRPr="007C1FBF">
        <w:rPr>
          <w:rFonts w:ascii="Arial" w:eastAsia="Calibri" w:hAnsi="Arial" w:cs="Arial"/>
        </w:rPr>
        <w:t xml:space="preserve">The Department of Health licenses and certifies behavioral health providers and facilities.  </w:t>
      </w:r>
      <w:r w:rsidRPr="007C1FBF">
        <w:rPr>
          <w:rFonts w:ascii="Arial Narrow" w:eastAsia="Calibri" w:hAnsi="Arial Narrow" w:cs="Arial"/>
          <w:sz w:val="22"/>
          <w:szCs w:val="22"/>
        </w:rPr>
        <w:t>(</w:t>
      </w:r>
      <w:r w:rsidRPr="007C1FBF">
        <w:rPr>
          <w:rFonts w:ascii="Arial Narrow" w:eastAsia="Calibri" w:hAnsi="Arial Narrow" w:cs="Arial"/>
          <w:i/>
          <w:sz w:val="22"/>
          <w:szCs w:val="22"/>
        </w:rPr>
        <w:t xml:space="preserve">See Laws of 2018, </w:t>
      </w:r>
      <w:proofErr w:type="spellStart"/>
      <w:r w:rsidRPr="007C1FBF">
        <w:rPr>
          <w:rFonts w:ascii="Arial Narrow" w:eastAsia="Calibri" w:hAnsi="Arial Narrow" w:cs="Arial"/>
          <w:i/>
          <w:sz w:val="22"/>
          <w:szCs w:val="22"/>
        </w:rPr>
        <w:t>ch.</w:t>
      </w:r>
      <w:proofErr w:type="spellEnd"/>
      <w:r w:rsidRPr="007C1FBF">
        <w:rPr>
          <w:rFonts w:ascii="Arial Narrow" w:eastAsia="Calibri" w:hAnsi="Arial Narrow" w:cs="Arial"/>
          <w:i/>
          <w:sz w:val="22"/>
          <w:szCs w:val="22"/>
        </w:rPr>
        <w:t xml:space="preserve"> 201, §3025</w:t>
      </w:r>
      <w:r w:rsidRPr="007C1FBF">
        <w:rPr>
          <w:rFonts w:ascii="Arial Narrow" w:eastAsia="Calibri" w:hAnsi="Arial Narrow" w:cs="Arial"/>
          <w:sz w:val="22"/>
          <w:szCs w:val="22"/>
        </w:rPr>
        <w:t>.)</w:t>
      </w:r>
    </w:p>
    <w:p w:rsidR="007C1FBF" w:rsidRPr="007C1FBF" w:rsidRDefault="007C1FBF" w:rsidP="007C1FBF">
      <w:pPr>
        <w:rPr>
          <w:rFonts w:ascii="Arial" w:eastAsia="Calibri" w:hAnsi="Arial" w:cs="Arial"/>
        </w:rPr>
      </w:pPr>
    </w:p>
    <w:p w:rsidR="007C1FBF" w:rsidRPr="007C1FBF" w:rsidRDefault="007C1FBF" w:rsidP="007C1FBF">
      <w:pPr>
        <w:spacing w:after="120"/>
        <w:rPr>
          <w:rFonts w:ascii="Arial" w:eastAsia="Calibri" w:hAnsi="Arial" w:cs="Arial"/>
        </w:rPr>
      </w:pPr>
      <w:r w:rsidRPr="007C1FBF">
        <w:rPr>
          <w:rFonts w:ascii="Arial" w:eastAsia="Calibri" w:hAnsi="Arial" w:cs="Arial"/>
        </w:rPr>
        <w:t>The table below contains detailed descriptions of the changes:</w:t>
      </w:r>
    </w:p>
    <w:tbl>
      <w:tblPr>
        <w:tblStyle w:val="TableGrid1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8208"/>
      </w:tblGrid>
      <w:tr w:rsidR="007C1FBF" w:rsidRPr="007C1FBF" w:rsidTr="007C1FBF">
        <w:tc>
          <w:tcPr>
            <w:tcW w:w="1368" w:type="dxa"/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t>MP 410</w:t>
            </w:r>
          </w:p>
        </w:tc>
        <w:tc>
          <w:tcPr>
            <w:tcW w:w="8208" w:type="dxa"/>
          </w:tcPr>
          <w:p w:rsidR="007C1FBF" w:rsidRPr="007C1FBF" w:rsidRDefault="007C1FBF" w:rsidP="007C1FBF">
            <w:pPr>
              <w:rPr>
                <w:b/>
                <w:szCs w:val="22"/>
              </w:rPr>
            </w:pPr>
            <w:r w:rsidRPr="007C1FBF">
              <w:rPr>
                <w:b/>
                <w:szCs w:val="22"/>
              </w:rPr>
              <w:t>Findings, Conclusions, and Order Committing Respondent for Involuntary Treatment or Less Restrictive Treatment</w:t>
            </w:r>
          </w:p>
          <w:p w:rsidR="007C1FBF" w:rsidRPr="007C1FBF" w:rsidRDefault="007C1FBF" w:rsidP="007C1FBF">
            <w:pPr>
              <w:rPr>
                <w:rFonts w:ascii="Arial Narrow" w:hAnsi="Arial Narrow"/>
                <w:i/>
                <w:szCs w:val="22"/>
              </w:rPr>
            </w:pPr>
            <w:r w:rsidRPr="007C1FBF">
              <w:rPr>
                <w:rFonts w:ascii="Arial Narrow" w:hAnsi="Arial Narrow"/>
                <w:i/>
                <w:szCs w:val="22"/>
              </w:rPr>
              <w:t>(For 14-day commitment or 90-day LRA or 90-day AOT)</w:t>
            </w:r>
          </w:p>
          <w:p w:rsidR="007C1FBF" w:rsidRPr="007C1FBF" w:rsidRDefault="007C1FBF" w:rsidP="007C1FBF"/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On the first page, below the major heading “Hearing” and below the subheading “At the hearing,”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relevant check box options to reflect the option to appear by video and for witnesses the option to appear by telephone,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tabs>
                <w:tab w:val="left" w:pos="769"/>
              </w:tabs>
              <w:ind w:left="1219" w:hanging="63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7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0"/>
            <w:r w:rsidRPr="007C1FBF">
              <w:rPr>
                <w:sz w:val="22"/>
                <w:szCs w:val="22"/>
              </w:rPr>
              <w:t xml:space="preserve">   Respondent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7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1"/>
            <w:r w:rsidRPr="007C1FBF">
              <w:rPr>
                <w:sz w:val="22"/>
                <w:szCs w:val="22"/>
              </w:rPr>
              <w:t xml:space="preserve"> appeared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8"/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bookmarkEnd w:id="2"/>
            <w:r w:rsidRPr="007C1FBF">
              <w:rPr>
                <w:sz w:val="22"/>
                <w:szCs w:val="22"/>
                <w:u w:val="single"/>
              </w:rPr>
              <w:t xml:space="preserve"> appeared by video</w:t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</w:rPr>
              <w:br/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refused to appear</w:t>
            </w:r>
          </w:p>
          <w:p w:rsidR="007C1FBF" w:rsidRPr="007C1FBF" w:rsidRDefault="007C1FBF" w:rsidP="007C1FBF">
            <w:pPr>
              <w:ind w:left="1219" w:hanging="49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13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3"/>
            <w:r w:rsidRPr="007C1FBF">
              <w:rPr>
                <w:sz w:val="22"/>
                <w:szCs w:val="22"/>
              </w:rPr>
              <w:t xml:space="preserve">   GAL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9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4"/>
            <w:r w:rsidRPr="007C1FBF">
              <w:rPr>
                <w:sz w:val="22"/>
                <w:szCs w:val="22"/>
              </w:rPr>
              <w:t xml:space="preserve"> appeared in person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 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waived appearance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5"/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bookmarkEnd w:id="6"/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spacing w:before="71"/>
              <w:ind w:left="3739" w:right="14" w:hanging="3019"/>
              <w:rPr>
                <w:sz w:val="22"/>
                <w:szCs w:val="22"/>
                <w:u w:val="single"/>
              </w:rPr>
            </w:pPr>
            <w:r w:rsidRPr="007C1FBF">
              <w:rPr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</w:p>
          <w:p w:rsidR="007C1FBF" w:rsidRPr="007C1FBF" w:rsidRDefault="007C1FBF" w:rsidP="007C1FBF">
            <w:pPr>
              <w:spacing w:before="71"/>
              <w:ind w:left="3739" w:right="14" w:hanging="301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  <w:r w:rsidRPr="007C1FBF">
              <w:rPr>
                <w:sz w:val="22"/>
                <w:szCs w:val="22"/>
              </w:rPr>
              <w:t>”</w:t>
            </w:r>
          </w:p>
          <w:p w:rsidR="007C1FBF" w:rsidRPr="007C1FBF" w:rsidRDefault="007C1FBF" w:rsidP="007C1FBF">
            <w:pPr>
              <w:rPr>
                <w:strike/>
                <w:color w:val="000000"/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In paragraph 6, in the first check box option, change “detox” to “detoxification.”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In paragraph 11, “Involuntary Treatment,”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201</w:t>
            </w:r>
            <w:r w:rsidRPr="007C1FBF">
              <w:rPr>
                <w:noProof/>
                <w:sz w:val="22"/>
                <w:szCs w:val="22"/>
              </w:rPr>
              <w:t xml:space="preserve"> §§ 3001, 3009, and 3010,</w:t>
            </w:r>
            <w:r w:rsidRPr="007C1FBF">
              <w:rPr>
                <w:sz w:val="22"/>
                <w:szCs w:val="22"/>
              </w:rPr>
              <w:t xml:space="preserve"> change the first check box option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72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“</w:t>
            </w:r>
            <w:r w:rsidRPr="007C1FBF">
              <w:rPr>
                <w:b/>
                <w:bCs/>
                <w:sz w:val="22"/>
                <w:szCs w:val="22"/>
              </w:rPr>
              <w:t xml:space="preserve">14-Day Commitment. </w:t>
            </w:r>
            <w:r w:rsidRPr="007C1FBF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</w:rPr>
              <w:t xml:space="preserve">The Respondent is detained for a period not to exceed 14 days of intensive inpatient treatment at </w:t>
            </w:r>
            <w:r w:rsidRPr="007C1FBF">
              <w:rPr>
                <w:sz w:val="22"/>
                <w:szCs w:val="22"/>
                <w:u w:val="single"/>
              </w:rPr>
              <w:t>this facility certified to provide treatment by the Department of Health</w:t>
            </w:r>
            <w:r w:rsidRPr="007C1FBF">
              <w:rPr>
                <w:sz w:val="22"/>
                <w:szCs w:val="22"/>
              </w:rPr>
              <w:t>:”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72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In the same “14-Day Commitment” check box section, in the second sub-check box, change “detox” to “detoxification.”</w:t>
            </w:r>
          </w:p>
          <w:p w:rsidR="007C1FBF" w:rsidRPr="007C1FBF" w:rsidRDefault="007C1FBF" w:rsidP="007C1FBF">
            <w:pPr>
              <w:ind w:left="720"/>
            </w:pPr>
          </w:p>
        </w:tc>
      </w:tr>
      <w:tr w:rsidR="007C1FBF" w:rsidRPr="007C1FBF" w:rsidTr="007C1FBF">
        <w:tc>
          <w:tcPr>
            <w:tcW w:w="1368" w:type="dxa"/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lastRenderedPageBreak/>
              <w:t>MP 420</w:t>
            </w:r>
          </w:p>
        </w:tc>
        <w:tc>
          <w:tcPr>
            <w:tcW w:w="8208" w:type="dxa"/>
          </w:tcPr>
          <w:p w:rsidR="007C1FBF" w:rsidRPr="007C1FBF" w:rsidRDefault="007C1FBF" w:rsidP="007C1FBF">
            <w:pPr>
              <w:rPr>
                <w:b/>
                <w:strike/>
                <w:szCs w:val="22"/>
              </w:rPr>
            </w:pPr>
            <w:r w:rsidRPr="007C1FBF">
              <w:rPr>
                <w:b/>
                <w:szCs w:val="22"/>
              </w:rPr>
              <w:t xml:space="preserve">Findings, Conclusions, and Order Committing Respondent for Involuntary Treatment Or Less Restrictive Treatment </w:t>
            </w:r>
          </w:p>
          <w:p w:rsidR="007C1FBF" w:rsidRPr="007C1FBF" w:rsidRDefault="007C1FBF" w:rsidP="007C1FBF">
            <w:pPr>
              <w:rPr>
                <w:rFonts w:ascii="Arial Narrow" w:hAnsi="Arial Narrow"/>
                <w:i/>
                <w:szCs w:val="22"/>
              </w:rPr>
            </w:pPr>
            <w:r w:rsidRPr="007C1FBF">
              <w:rPr>
                <w:rFonts w:ascii="Arial Narrow" w:hAnsi="Arial Narrow"/>
                <w:i/>
                <w:szCs w:val="22"/>
              </w:rPr>
              <w:t>(90-day, 180-day, 90-day LRA, 180-day LRA, 1-year LRA)</w:t>
            </w:r>
          </w:p>
          <w:p w:rsidR="007C1FBF" w:rsidRPr="007C1FBF" w:rsidRDefault="007C1FBF" w:rsidP="007C1FBF"/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On the first page, below the major heading “Hearing” and below the subheading “At the hearing,”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relevant check box options to reflect the option to appear by video and for witnesses the option to appear by telephone,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1129" w:hanging="54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</w:t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</w:rPr>
              <w:br/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refused to appear</w:t>
            </w:r>
          </w:p>
          <w:p w:rsidR="007C1FBF" w:rsidRPr="007C1FBF" w:rsidRDefault="007C1FBF" w:rsidP="007C1FBF">
            <w:pPr>
              <w:ind w:left="1129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GAL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 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waived appearance</w:t>
            </w:r>
          </w:p>
          <w:p w:rsidR="007C1FBF" w:rsidRPr="007C1FBF" w:rsidRDefault="007C1FBF" w:rsidP="007C1FBF">
            <w:pPr>
              <w:tabs>
                <w:tab w:val="left" w:pos="4680"/>
                <w:tab w:val="left" w:pos="9180"/>
              </w:tabs>
              <w:spacing w:before="69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3739"/>
              </w:tabs>
              <w:spacing w:before="71"/>
              <w:ind w:left="3739" w:right="14" w:hanging="3019"/>
              <w:rPr>
                <w:sz w:val="22"/>
                <w:szCs w:val="22"/>
                <w:u w:val="single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</w:p>
          <w:p w:rsidR="007C1FBF" w:rsidRPr="007C1FBF" w:rsidRDefault="007C1FBF" w:rsidP="007C1FBF">
            <w:pPr>
              <w:tabs>
                <w:tab w:val="left" w:pos="3739"/>
              </w:tabs>
              <w:spacing w:before="71"/>
              <w:ind w:left="3739" w:right="14" w:hanging="301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  <w:r w:rsidRPr="007C1FBF">
              <w:rPr>
                <w:sz w:val="22"/>
                <w:szCs w:val="22"/>
              </w:rPr>
              <w:t>”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noProof/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Below the heading “</w:t>
            </w:r>
            <w:r w:rsidRPr="007C1FBF">
              <w:rPr>
                <w:b/>
                <w:sz w:val="22"/>
                <w:szCs w:val="22"/>
              </w:rPr>
              <w:t>The Court Orders</w:t>
            </w:r>
            <w:r w:rsidRPr="007C1FBF">
              <w:rPr>
                <w:sz w:val="22"/>
                <w:szCs w:val="22"/>
              </w:rPr>
              <w:t xml:space="preserve">,” in section 9,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201</w:t>
            </w:r>
            <w:r w:rsidRPr="007C1FBF">
              <w:rPr>
                <w:noProof/>
                <w:sz w:val="22"/>
                <w:szCs w:val="22"/>
              </w:rPr>
              <w:t xml:space="preserve"> §§ 3001, 3012, and 3013, change the text of the first check box option as follows:</w:t>
            </w:r>
          </w:p>
          <w:p w:rsidR="007C1FBF" w:rsidRPr="007C1FBF" w:rsidRDefault="007C1FBF" w:rsidP="007C1FBF">
            <w:pPr>
              <w:rPr>
                <w:noProof/>
                <w:sz w:val="22"/>
                <w:szCs w:val="22"/>
              </w:rPr>
            </w:pPr>
          </w:p>
          <w:p w:rsidR="007C1FBF" w:rsidRPr="007C1FBF" w:rsidRDefault="007C1FBF" w:rsidP="00EF09E8">
            <w:pPr>
              <w:tabs>
                <w:tab w:val="left" w:pos="769"/>
              </w:tabs>
              <w:ind w:left="720" w:hanging="401"/>
            </w:pPr>
            <w:r w:rsidRPr="007C1FBF">
              <w:rPr>
                <w:b/>
                <w:bCs/>
                <w:sz w:val="22"/>
                <w:szCs w:val="22"/>
              </w:rPr>
              <w:t>“</w:t>
            </w:r>
            <w:r w:rsidRPr="007C1FB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5"/>
            <w:r w:rsidRPr="007C1FB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7C1FBF">
              <w:rPr>
                <w:b/>
                <w:bCs/>
                <w:sz w:val="22"/>
                <w:szCs w:val="22"/>
              </w:rPr>
            </w:r>
            <w:r w:rsidRPr="007C1FBF">
              <w:rPr>
                <w:b/>
                <w:bCs/>
                <w:sz w:val="22"/>
                <w:szCs w:val="22"/>
              </w:rPr>
              <w:fldChar w:fldCharType="separate"/>
            </w:r>
            <w:r w:rsidRPr="007C1FB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Pr="007C1FBF">
              <w:rPr>
                <w:b/>
                <w:bCs/>
                <w:sz w:val="22"/>
                <w:szCs w:val="22"/>
              </w:rPr>
              <w:tab/>
              <w:t xml:space="preserve">Inpatient Treatment. </w:t>
            </w:r>
            <w:r w:rsidRPr="007C1FBF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C1FBF">
              <w:rPr>
                <w:bCs/>
                <w:spacing w:val="1"/>
                <w:sz w:val="22"/>
                <w:szCs w:val="22"/>
              </w:rPr>
              <w:t xml:space="preserve">The court orders </w:t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2"/>
            <w:r w:rsidRPr="007C1FBF">
              <w:rPr>
                <w:bCs/>
                <w:spacing w:val="1"/>
                <w:sz w:val="22"/>
                <w:szCs w:val="22"/>
              </w:rPr>
              <w:instrText xml:space="preserve"> FORMCHECKBOX </w:instrText>
            </w:r>
            <w:r w:rsidRPr="007C1FBF">
              <w:rPr>
                <w:bCs/>
                <w:spacing w:val="1"/>
                <w:sz w:val="22"/>
                <w:szCs w:val="22"/>
              </w:rPr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separate"/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end"/>
            </w:r>
            <w:bookmarkEnd w:id="8"/>
            <w:r w:rsidRPr="007C1FBF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7C1FBF">
              <w:rPr>
                <w:b/>
                <w:bCs/>
                <w:spacing w:val="1"/>
                <w:sz w:val="22"/>
                <w:szCs w:val="22"/>
              </w:rPr>
              <w:t>90 Days</w:t>
            </w:r>
            <w:r w:rsidRPr="007C1FBF">
              <w:rPr>
                <w:bCs/>
                <w:spacing w:val="1"/>
                <w:sz w:val="22"/>
                <w:szCs w:val="22"/>
              </w:rPr>
              <w:t xml:space="preserve">  </w:t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3"/>
            <w:r w:rsidRPr="007C1FBF">
              <w:rPr>
                <w:bCs/>
                <w:spacing w:val="1"/>
                <w:sz w:val="22"/>
                <w:szCs w:val="22"/>
              </w:rPr>
              <w:instrText xml:space="preserve"> FORMCHECKBOX </w:instrText>
            </w:r>
            <w:r w:rsidRPr="007C1FBF">
              <w:rPr>
                <w:bCs/>
                <w:spacing w:val="1"/>
                <w:sz w:val="22"/>
                <w:szCs w:val="22"/>
              </w:rPr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separate"/>
            </w:r>
            <w:r w:rsidRPr="007C1FBF">
              <w:rPr>
                <w:bCs/>
                <w:spacing w:val="1"/>
                <w:sz w:val="22"/>
                <w:szCs w:val="22"/>
              </w:rPr>
              <w:fldChar w:fldCharType="end"/>
            </w:r>
            <w:bookmarkEnd w:id="9"/>
            <w:r w:rsidRPr="007C1FBF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7C1FBF">
              <w:rPr>
                <w:b/>
                <w:bCs/>
                <w:spacing w:val="1"/>
                <w:sz w:val="22"/>
                <w:szCs w:val="22"/>
              </w:rPr>
              <w:t>180 Days</w:t>
            </w:r>
            <w:r w:rsidRPr="007C1FBF">
              <w:rPr>
                <w:bCs/>
                <w:spacing w:val="1"/>
                <w:sz w:val="22"/>
                <w:szCs w:val="22"/>
              </w:rPr>
              <w:t xml:space="preserve"> of intensive inpatient treatment.  </w:t>
            </w:r>
            <w:r w:rsidRPr="007C1FBF">
              <w:rPr>
                <w:sz w:val="22"/>
                <w:szCs w:val="22"/>
              </w:rPr>
              <w:t xml:space="preserve">Respondent is remanded into the custody of DSHS or to a facility certified by </w:t>
            </w:r>
            <w:proofErr w:type="spellStart"/>
            <w:r w:rsidRPr="007C1FBF">
              <w:rPr>
                <w:strike/>
                <w:sz w:val="22"/>
                <w:szCs w:val="22"/>
              </w:rPr>
              <w:t>DSHS</w:t>
            </w:r>
            <w:r w:rsidRPr="007C1FBF">
              <w:rPr>
                <w:sz w:val="22"/>
                <w:szCs w:val="22"/>
                <w:u w:val="single"/>
              </w:rPr>
              <w:t>the</w:t>
            </w:r>
            <w:proofErr w:type="spellEnd"/>
            <w:r w:rsidRPr="007C1FBF">
              <w:rPr>
                <w:sz w:val="22"/>
                <w:szCs w:val="22"/>
                <w:u w:val="single"/>
              </w:rPr>
              <w:t xml:space="preserve"> Department of Health</w:t>
            </w:r>
            <w:r w:rsidRPr="007C1FBF">
              <w:rPr>
                <w:sz w:val="22"/>
                <w:szCs w:val="22"/>
              </w:rPr>
              <w:t>.”</w:t>
            </w:r>
          </w:p>
        </w:tc>
      </w:tr>
      <w:tr w:rsidR="007C1FBF" w:rsidRPr="007C1FBF" w:rsidTr="007C1FBF">
        <w:tc>
          <w:tcPr>
            <w:tcW w:w="13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lastRenderedPageBreak/>
              <w:t>MP 441</w:t>
            </w:r>
          </w:p>
        </w:tc>
        <w:tc>
          <w:tcPr>
            <w:tcW w:w="820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t>Order of Continuance</w:t>
            </w:r>
          </w:p>
          <w:p w:rsidR="007C1FBF" w:rsidRPr="007C1FBF" w:rsidRDefault="007C1FBF" w:rsidP="007C1FBF"/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On the first page, below “for a continuance, and,”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relevant check box options to reflect the option to appear by video, and for witnesses the option to also appear by telephone,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1129" w:hanging="547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</w:t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</w:rPr>
              <w:br/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refused to appear</w:t>
            </w:r>
          </w:p>
          <w:p w:rsidR="007C1FBF" w:rsidRPr="007C1FBF" w:rsidRDefault="007C1FBF" w:rsidP="007C1FBF">
            <w:pPr>
              <w:ind w:left="1129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GAL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 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waived appearance</w:t>
            </w:r>
          </w:p>
          <w:p w:rsidR="007C1FBF" w:rsidRPr="007C1FBF" w:rsidRDefault="007C1FBF" w:rsidP="007C1FBF">
            <w:pPr>
              <w:tabs>
                <w:tab w:val="left" w:pos="4680"/>
                <w:tab w:val="left" w:pos="9180"/>
              </w:tabs>
              <w:spacing w:before="69"/>
              <w:ind w:left="1080" w:right="14" w:hanging="36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3822"/>
              </w:tabs>
              <w:spacing w:before="71"/>
              <w:ind w:left="3732" w:right="14" w:hanging="3012"/>
              <w:rPr>
                <w:sz w:val="22"/>
                <w:szCs w:val="22"/>
                <w:u w:val="single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</w:p>
          <w:p w:rsidR="007C1FBF" w:rsidRPr="007C1FBF" w:rsidRDefault="007C1FBF" w:rsidP="007C1FBF">
            <w:pPr>
              <w:tabs>
                <w:tab w:val="left" w:pos="3732"/>
              </w:tabs>
              <w:spacing w:before="71"/>
              <w:ind w:left="3732" w:right="14" w:hanging="3012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____”</w:t>
            </w:r>
          </w:p>
          <w:p w:rsidR="007C1FBF" w:rsidRPr="007C1FBF" w:rsidRDefault="007C1FBF" w:rsidP="007C1FBF"/>
        </w:tc>
      </w:tr>
      <w:tr w:rsidR="007C1FBF" w:rsidRPr="007C1FBF" w:rsidTr="007C1FBF">
        <w:tc>
          <w:tcPr>
            <w:tcW w:w="13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t>MP 445</w:t>
            </w:r>
          </w:p>
        </w:tc>
        <w:tc>
          <w:tcPr>
            <w:tcW w:w="820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  <w:szCs w:val="22"/>
              </w:rPr>
            </w:pPr>
            <w:r w:rsidRPr="007C1FBF">
              <w:rPr>
                <w:b/>
                <w:szCs w:val="22"/>
              </w:rPr>
              <w:t>Order Setting Trial Date and Committing Adult for Involuntary Treatment Pending Trial</w:t>
            </w:r>
          </w:p>
          <w:p w:rsidR="007C1FBF" w:rsidRPr="007C1FBF" w:rsidRDefault="007C1FBF" w:rsidP="007C1FBF"/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Below the heading “</w:t>
            </w:r>
            <w:r w:rsidRPr="007C1FBF">
              <w:rPr>
                <w:b/>
                <w:sz w:val="22"/>
                <w:szCs w:val="22"/>
              </w:rPr>
              <w:t>Hearing</w:t>
            </w:r>
            <w:r w:rsidRPr="007C1FBF">
              <w:rPr>
                <w:sz w:val="22"/>
                <w:szCs w:val="22"/>
              </w:rPr>
              <w:t xml:space="preserve">,” and below the sub-heading “At the hearing,”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relevant check box options to reflect the option to appear by video, and for witnesses the option to also appear by telephone,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1129" w:hanging="547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br/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refused to appear</w:t>
            </w:r>
          </w:p>
          <w:p w:rsidR="007C1FBF" w:rsidRPr="007C1FBF" w:rsidRDefault="007C1FBF" w:rsidP="007C1FBF">
            <w:pPr>
              <w:ind w:left="1129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GAL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 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waived appearance</w:t>
            </w:r>
          </w:p>
          <w:p w:rsidR="007C1FBF" w:rsidRPr="007C1FBF" w:rsidRDefault="007C1FBF" w:rsidP="007C1FBF">
            <w:pPr>
              <w:tabs>
                <w:tab w:val="left" w:pos="4680"/>
                <w:tab w:val="left" w:pos="9180"/>
              </w:tabs>
              <w:spacing w:before="69"/>
              <w:ind w:left="1212" w:right="14" w:hanging="492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212" w:right="14" w:hanging="492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  <w:r w:rsidRPr="007C1FBF">
              <w:rPr>
                <w:sz w:val="22"/>
                <w:szCs w:val="22"/>
              </w:rPr>
              <w:t>”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In section 2, in the paragraph beginning with “Escape and Recapture,” change: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“Designated Mental Health Professional” to “Designated Crisis Responder.”</w:t>
            </w:r>
          </w:p>
          <w:p w:rsidR="007C1FBF" w:rsidRPr="007C1FBF" w:rsidRDefault="007C1FBF" w:rsidP="007C1FBF"/>
        </w:tc>
      </w:tr>
      <w:tr w:rsidR="007C1FBF" w:rsidRPr="007C1FBF" w:rsidTr="00EF09E8">
        <w:trPr>
          <w:trHeight w:val="1207"/>
        </w:trPr>
        <w:tc>
          <w:tcPr>
            <w:tcW w:w="13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t>MP 450</w:t>
            </w:r>
          </w:p>
        </w:tc>
        <w:tc>
          <w:tcPr>
            <w:tcW w:w="820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  <w:szCs w:val="22"/>
              </w:rPr>
            </w:pPr>
            <w:r w:rsidRPr="007C1FBF">
              <w:rPr>
                <w:b/>
                <w:szCs w:val="22"/>
              </w:rPr>
              <w:t>Order for Dismissal</w:t>
            </w:r>
          </w:p>
          <w:p w:rsidR="00EF09E8" w:rsidRPr="007C1FBF" w:rsidRDefault="00EF09E8" w:rsidP="00EF09E8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On the first page, below the subheading “The following people were present at the hearing,”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last two boxes as follows:</w:t>
            </w:r>
          </w:p>
          <w:p w:rsidR="007C1FBF" w:rsidRPr="007C1FBF" w:rsidRDefault="007C1FBF" w:rsidP="007C1FBF">
            <w:pPr>
              <w:tabs>
                <w:tab w:val="left" w:pos="755"/>
                <w:tab w:val="left" w:pos="4680"/>
                <w:tab w:val="left" w:pos="9180"/>
              </w:tabs>
              <w:spacing w:before="69"/>
              <w:ind w:left="1210" w:right="14" w:hanging="538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lastRenderedPageBreak/>
              <w:t>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9180"/>
              </w:tabs>
              <w:spacing w:before="69"/>
              <w:ind w:left="1080" w:right="14" w:hanging="360"/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tabs>
                <w:tab w:val="left" w:pos="1212"/>
                <w:tab w:val="left" w:pos="5400"/>
              </w:tabs>
              <w:spacing w:before="69"/>
              <w:ind w:left="1210" w:right="14" w:hanging="49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  <w:r w:rsidRPr="007C1FBF">
              <w:rPr>
                <w:sz w:val="22"/>
                <w:szCs w:val="22"/>
              </w:rPr>
              <w:t>”</w:t>
            </w:r>
          </w:p>
          <w:p w:rsidR="007C1FBF" w:rsidRPr="007C1FBF" w:rsidRDefault="007C1FBF" w:rsidP="007C1FBF">
            <w:pPr>
              <w:rPr>
                <w:szCs w:val="22"/>
              </w:rPr>
            </w:pPr>
            <w:r w:rsidRPr="007C1FBF">
              <w:t xml:space="preserve"> </w:t>
            </w:r>
          </w:p>
        </w:tc>
      </w:tr>
      <w:tr w:rsidR="007C1FBF" w:rsidRPr="007C1FBF" w:rsidTr="007C1FBF">
        <w:tc>
          <w:tcPr>
            <w:tcW w:w="13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lastRenderedPageBreak/>
              <w:t>MP460</w:t>
            </w:r>
          </w:p>
        </w:tc>
        <w:tc>
          <w:tcPr>
            <w:tcW w:w="820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  <w:szCs w:val="22"/>
              </w:rPr>
            </w:pPr>
            <w:r w:rsidRPr="007C1FBF">
              <w:rPr>
                <w:b/>
                <w:szCs w:val="22"/>
              </w:rPr>
              <w:t>Order Revoking Less Restrictive Alternative Treatment/Conditional Release</w:t>
            </w:r>
          </w:p>
          <w:p w:rsidR="007C1FBF" w:rsidRPr="007C1FBF" w:rsidRDefault="007C1FBF" w:rsidP="007C1FBF"/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Below the heading “</w:t>
            </w:r>
            <w:r w:rsidRPr="007C1FBF">
              <w:rPr>
                <w:b/>
                <w:sz w:val="22"/>
                <w:szCs w:val="22"/>
              </w:rPr>
              <w:t>Hearing</w:t>
            </w:r>
            <w:r w:rsidRPr="007C1FBF">
              <w:rPr>
                <w:sz w:val="22"/>
                <w:szCs w:val="22"/>
              </w:rPr>
              <w:t xml:space="preserve">,” and below the subheading “At the hearing,”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305, change the relevant check box options to reflect the option to appear by video, and for witnesses the option to also appear by telephone, as follows: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ind w:left="1129" w:hanging="547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 “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</w:t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</w:rPr>
              <w:br/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refused to appear</w:t>
            </w:r>
          </w:p>
          <w:p w:rsidR="007C1FBF" w:rsidRPr="007C1FBF" w:rsidRDefault="007C1FBF" w:rsidP="007C1FBF">
            <w:pPr>
              <w:ind w:left="1129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GAL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appeared in person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appeared by video </w:t>
            </w:r>
            <w:r w:rsidRPr="007C1FBF">
              <w:rPr>
                <w:sz w:val="22"/>
                <w:szCs w:val="22"/>
              </w:rPr>
              <w:t xml:space="preserve">  </w:t>
            </w:r>
            <w:r w:rsidRPr="007C1FBF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waived appearance</w:t>
            </w:r>
          </w:p>
          <w:p w:rsidR="007C1FBF" w:rsidRPr="007C1FBF" w:rsidRDefault="007C1FBF" w:rsidP="007C1FBF">
            <w:pPr>
              <w:tabs>
                <w:tab w:val="left" w:pos="4680"/>
                <w:tab w:val="left" w:pos="9180"/>
              </w:tabs>
              <w:spacing w:before="69"/>
              <w:ind w:left="1080" w:right="14" w:hanging="36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Petitioner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 </w:t>
            </w:r>
            <w:r w:rsidRPr="007C1FBF">
              <w:rPr>
                <w:sz w:val="22"/>
                <w:szCs w:val="22"/>
              </w:rPr>
              <w:t xml:space="preserve">and was represented by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DPA/AAG </w:t>
            </w:r>
            <w:r w:rsidRPr="007C1FBF">
              <w:rPr>
                <w:sz w:val="22"/>
                <w:szCs w:val="22"/>
                <w:u w:val="single"/>
              </w:rPr>
              <w:t xml:space="preserve">who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5670"/>
              </w:tabs>
              <w:spacing w:before="71"/>
              <w:ind w:left="1129" w:right="14" w:hanging="409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</w:rPr>
              <w:instrText xml:space="preserve"> FORMCHECKBOX </w:instrText>
            </w:r>
            <w:r w:rsidRPr="007C1FBF">
              <w:rPr>
                <w:sz w:val="22"/>
                <w:szCs w:val="22"/>
              </w:rPr>
            </w:r>
            <w:r w:rsidRPr="007C1FBF">
              <w:rPr>
                <w:sz w:val="22"/>
                <w:szCs w:val="22"/>
              </w:rPr>
              <w:fldChar w:fldCharType="separate"/>
            </w:r>
            <w:r w:rsidRPr="007C1FBF">
              <w:rPr>
                <w:sz w:val="22"/>
                <w:szCs w:val="22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Respondent's Attorney </w:t>
            </w:r>
            <w:r w:rsidRPr="007C1FBF">
              <w:rPr>
                <w:sz w:val="22"/>
                <w:szCs w:val="22"/>
                <w:u w:val="single"/>
              </w:rPr>
              <w:tab/>
            </w:r>
            <w:r w:rsidRPr="007C1FBF">
              <w:rPr>
                <w:sz w:val="22"/>
                <w:szCs w:val="22"/>
              </w:rPr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</w:t>
            </w:r>
          </w:p>
          <w:p w:rsidR="007C1FBF" w:rsidRPr="007C1FBF" w:rsidRDefault="007C1FBF" w:rsidP="007C1FBF">
            <w:pPr>
              <w:tabs>
                <w:tab w:val="left" w:pos="3732"/>
              </w:tabs>
              <w:spacing w:before="71"/>
              <w:ind w:left="3732" w:right="14" w:hanging="3012"/>
              <w:rPr>
                <w:sz w:val="22"/>
                <w:szCs w:val="22"/>
                <w:u w:val="single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</w:p>
          <w:p w:rsidR="007C1FBF" w:rsidRPr="007C1FBF" w:rsidRDefault="007C1FBF" w:rsidP="007C1FBF">
            <w:pPr>
              <w:tabs>
                <w:tab w:val="left" w:pos="3732"/>
              </w:tabs>
              <w:spacing w:before="71"/>
              <w:ind w:left="3732" w:right="14" w:hanging="3012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</w:rPr>
              <w:t xml:space="preserve">   </w:t>
            </w:r>
            <w:r w:rsidRPr="007C1FBF">
              <w:rPr>
                <w:sz w:val="22"/>
                <w:szCs w:val="22"/>
                <w:u w:val="single"/>
              </w:rPr>
              <w:t>Witness</w:t>
            </w:r>
            <w:r w:rsidRPr="007C1FBF">
              <w:rPr>
                <w:sz w:val="22"/>
                <w:szCs w:val="22"/>
                <w:u w:val="single"/>
              </w:rPr>
              <w:tab/>
              <w:t xml:space="preserve"> appeared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in person  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by video or  </w:t>
            </w:r>
            <w:r w:rsidRPr="007C1FBF">
              <w:rPr>
                <w:sz w:val="22"/>
                <w:szCs w:val="22"/>
                <w:u w:val="single"/>
              </w:rPr>
              <w:br/>
            </w:r>
            <w:r w:rsidRPr="007C1FBF">
              <w:rPr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under CR 43 by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telephone </w:t>
            </w:r>
            <w:r w:rsidRPr="007C1FBF">
              <w:rPr>
                <w:sz w:val="22"/>
                <w:szCs w:val="22"/>
                <w:u w:val="single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FBF">
              <w:rPr>
                <w:sz w:val="22"/>
                <w:szCs w:val="22"/>
                <w:u w:val="single"/>
              </w:rPr>
              <w:instrText xml:space="preserve"> FORMCHECKBOX </w:instrText>
            </w:r>
            <w:r w:rsidRPr="007C1FBF">
              <w:rPr>
                <w:sz w:val="22"/>
                <w:szCs w:val="22"/>
                <w:u w:val="single"/>
              </w:rPr>
            </w:r>
            <w:r w:rsidRPr="007C1FBF">
              <w:rPr>
                <w:sz w:val="22"/>
                <w:szCs w:val="22"/>
                <w:u w:val="single"/>
              </w:rPr>
              <w:fldChar w:fldCharType="separate"/>
            </w:r>
            <w:r w:rsidRPr="007C1FBF">
              <w:rPr>
                <w:sz w:val="22"/>
                <w:szCs w:val="22"/>
                <w:u w:val="single"/>
              </w:rPr>
              <w:fldChar w:fldCharType="end"/>
            </w:r>
            <w:r w:rsidRPr="007C1FBF">
              <w:rPr>
                <w:sz w:val="22"/>
                <w:szCs w:val="22"/>
                <w:u w:val="single"/>
              </w:rPr>
              <w:t xml:space="preserve"> ____</w:t>
            </w:r>
            <w:r w:rsidRPr="007C1FBF">
              <w:rPr>
                <w:sz w:val="22"/>
                <w:szCs w:val="22"/>
              </w:rPr>
              <w:t>”</w:t>
            </w: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In paragraph 2 “Adequate space for Respondent’s substance use disorder treatment,” in the first check box, change “detox” to “detoxification.”</w:t>
            </w: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noProof/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 xml:space="preserve">In paragraph 7. </w:t>
            </w:r>
            <w:r w:rsidRPr="007C1FBF">
              <w:rPr>
                <w:b/>
                <w:sz w:val="22"/>
                <w:szCs w:val="22"/>
              </w:rPr>
              <w:t>Remand and Commitment</w:t>
            </w:r>
            <w:r w:rsidRPr="007C1FBF">
              <w:rPr>
                <w:sz w:val="22"/>
                <w:szCs w:val="22"/>
              </w:rPr>
              <w:t xml:space="preserve">, to implement Laws of 2018, </w:t>
            </w:r>
            <w:proofErr w:type="spellStart"/>
            <w:r w:rsidRPr="007C1FBF">
              <w:rPr>
                <w:sz w:val="22"/>
                <w:szCs w:val="22"/>
              </w:rPr>
              <w:t>ch.</w:t>
            </w:r>
            <w:proofErr w:type="spellEnd"/>
            <w:r w:rsidRPr="007C1FBF">
              <w:rPr>
                <w:sz w:val="22"/>
                <w:szCs w:val="22"/>
              </w:rPr>
              <w:t xml:space="preserve"> 201</w:t>
            </w:r>
            <w:r w:rsidRPr="007C1FBF">
              <w:rPr>
                <w:noProof/>
                <w:sz w:val="22"/>
                <w:szCs w:val="22"/>
              </w:rPr>
              <w:t>, change the text of the first check box option as follows:</w:t>
            </w: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“</w:t>
            </w:r>
            <w:r w:rsidRPr="007C1FBF">
              <w:rPr>
                <w:b/>
                <w:bCs/>
                <w:sz w:val="22"/>
                <w:szCs w:val="22"/>
              </w:rPr>
              <w:t xml:space="preserve">Remand and Commitment. </w:t>
            </w:r>
            <w:r w:rsidRPr="007C1FBF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C1FBF">
              <w:rPr>
                <w:sz w:val="22"/>
                <w:szCs w:val="22"/>
              </w:rPr>
              <w:t xml:space="preserve">Respondent is remanded into the custody of DSHS or to a facility certified by </w:t>
            </w:r>
            <w:r w:rsidRPr="007C1FBF">
              <w:rPr>
                <w:strike/>
                <w:sz w:val="22"/>
                <w:szCs w:val="22"/>
              </w:rPr>
              <w:t xml:space="preserve">DSHS </w:t>
            </w:r>
            <w:r w:rsidRPr="007C1FBF">
              <w:rPr>
                <w:sz w:val="22"/>
                <w:szCs w:val="22"/>
                <w:u w:val="single"/>
              </w:rPr>
              <w:t>the Department of Health</w:t>
            </w:r>
            <w:r w:rsidRPr="007C1FBF">
              <w:rPr>
                <w:sz w:val="22"/>
                <w:szCs w:val="22"/>
              </w:rPr>
              <w:t xml:space="preserve"> for commitment:”</w:t>
            </w: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Below the heading “Remand and Commitment,” in the second check box option, change “detox” to “detoxification.”</w:t>
            </w:r>
          </w:p>
          <w:p w:rsidR="007C1FBF" w:rsidRPr="007C1FBF" w:rsidRDefault="007C1FBF" w:rsidP="007C1FBF">
            <w:pPr>
              <w:widowControl w:val="0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C1FBF" w:rsidRPr="007C1FBF" w:rsidTr="007C1FBF">
        <w:tc>
          <w:tcPr>
            <w:tcW w:w="136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</w:rPr>
            </w:pPr>
            <w:r w:rsidRPr="007C1FBF">
              <w:rPr>
                <w:b/>
              </w:rPr>
              <w:t>MP 4</w:t>
            </w:r>
            <w:bookmarkStart w:id="10" w:name="_GoBack"/>
            <w:bookmarkEnd w:id="10"/>
            <w:r w:rsidRPr="007C1FBF">
              <w:rPr>
                <w:b/>
              </w:rPr>
              <w:t>70</w:t>
            </w:r>
          </w:p>
        </w:tc>
        <w:tc>
          <w:tcPr>
            <w:tcW w:w="820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1FBF" w:rsidRPr="007C1FBF" w:rsidRDefault="007C1FBF" w:rsidP="007C1FBF">
            <w:pPr>
              <w:rPr>
                <w:b/>
                <w:szCs w:val="22"/>
              </w:rPr>
            </w:pPr>
            <w:r w:rsidRPr="007C1FBF">
              <w:rPr>
                <w:b/>
                <w:szCs w:val="22"/>
              </w:rPr>
              <w:t>Order After Review under RCW 71.05.235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On the first page, below “Introduction” and below “The court ordered,” in the first check box option, change:</w:t>
            </w: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</w:p>
          <w:p w:rsidR="007C1FBF" w:rsidRPr="007C1FBF" w:rsidRDefault="007C1FBF" w:rsidP="007C1FBF">
            <w:pPr>
              <w:rPr>
                <w:sz w:val="22"/>
                <w:szCs w:val="22"/>
              </w:rPr>
            </w:pPr>
            <w:r w:rsidRPr="007C1FBF">
              <w:rPr>
                <w:sz w:val="22"/>
                <w:szCs w:val="22"/>
              </w:rPr>
              <w:t>“Designated Mental Health Professional” to “Designated Crisis Responder,” and change “DMHP” to “DCR.”</w:t>
            </w:r>
          </w:p>
          <w:p w:rsidR="007C1FBF" w:rsidRPr="007C1FBF" w:rsidRDefault="007C1FBF" w:rsidP="007C1FBF">
            <w:pPr>
              <w:rPr>
                <w:szCs w:val="22"/>
              </w:rPr>
            </w:pPr>
          </w:p>
        </w:tc>
      </w:tr>
    </w:tbl>
    <w:p w:rsidR="007C1FBF" w:rsidRPr="007C1FBF" w:rsidRDefault="007C1FBF" w:rsidP="007C1FBF">
      <w:pPr>
        <w:rPr>
          <w:rFonts w:ascii="Arial" w:eastAsia="Calibri" w:hAnsi="Arial" w:cs="Arial"/>
        </w:rPr>
      </w:pPr>
    </w:p>
    <w:p w:rsidR="00A62B29" w:rsidRDefault="00A62B29" w:rsidP="00A62B29">
      <w:pPr>
        <w:tabs>
          <w:tab w:val="left" w:pos="2160"/>
        </w:tabs>
        <w:rPr>
          <w:rFonts w:ascii="Arial" w:hAnsi="Arial" w:cs="Arial"/>
        </w:rPr>
      </w:pPr>
    </w:p>
    <w:p w:rsidR="001B18BE" w:rsidRDefault="001B18BE" w:rsidP="001B18BE">
      <w:pPr>
        <w:rPr>
          <w:rFonts w:ascii="Arial" w:hAnsi="Arial" w:cs="Arial"/>
        </w:rPr>
      </w:pPr>
    </w:p>
    <w:sectPr w:rsidR="001B18BE" w:rsidSect="00EF09E8">
      <w:type w:val="continuous"/>
      <w:pgSz w:w="12240" w:h="15840"/>
      <w:pgMar w:top="1440" w:right="1440" w:bottom="1296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DF" w:rsidRDefault="00564CDF">
      <w:r>
        <w:separator/>
      </w:r>
    </w:p>
  </w:endnote>
  <w:endnote w:type="continuationSeparator" w:id="0">
    <w:p w:rsidR="00564CDF" w:rsidRDefault="0056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BF" w:rsidRPr="003378BA" w:rsidRDefault="007C1FBF" w:rsidP="000F70D7">
    <w:pPr>
      <w:jc w:val="center"/>
      <w:rPr>
        <w:rFonts w:ascii="Arial" w:hAnsi="Arial" w:cs="Arial"/>
        <w:b/>
        <w:color w:val="5A2057"/>
        <w:sz w:val="15"/>
        <w:szCs w:val="15"/>
      </w:rPr>
    </w:pPr>
    <w:r w:rsidRPr="003378BA">
      <w:rPr>
        <w:rFonts w:ascii="Arial" w:hAnsi="Arial" w:cs="Arial"/>
        <w:b/>
        <w:color w:val="5A2057"/>
        <w:sz w:val="15"/>
        <w:szCs w:val="15"/>
      </w:rPr>
      <w:t>STATE OF WASHINGTON</w:t>
    </w:r>
  </w:p>
  <w:p w:rsidR="007C1FBF" w:rsidRPr="003378BA" w:rsidRDefault="007C1FBF" w:rsidP="000F70D7">
    <w:pPr>
      <w:jc w:val="center"/>
      <w:rPr>
        <w:rFonts w:ascii="Arial" w:hAnsi="Arial" w:cs="Arial"/>
        <w:color w:val="5A2057"/>
        <w:sz w:val="15"/>
        <w:szCs w:val="15"/>
      </w:rPr>
    </w:pPr>
    <w:r w:rsidRPr="003378BA">
      <w:rPr>
        <w:rFonts w:ascii="Arial" w:hAnsi="Arial" w:cs="Arial"/>
        <w:color w:val="5A2057"/>
        <w:sz w:val="15"/>
        <w:szCs w:val="15"/>
      </w:rPr>
      <w:t xml:space="preserve">1206 Quince Street SE </w:t>
    </w:r>
    <w:r w:rsidRPr="003378BA">
      <w:rPr>
        <w:rFonts w:ascii="Arial" w:hAnsi="Arial" w:cs="Arial"/>
        <w:color w:val="5A2057"/>
        <w:sz w:val="15"/>
        <w:szCs w:val="15"/>
      </w:rPr>
      <w:sym w:font="Symbol" w:char="F0B7"/>
    </w:r>
    <w:r w:rsidRPr="003378BA">
      <w:rPr>
        <w:rFonts w:ascii="Arial" w:hAnsi="Arial" w:cs="Arial"/>
        <w:color w:val="5A2057"/>
        <w:sz w:val="15"/>
        <w:szCs w:val="15"/>
      </w:rPr>
      <w:t xml:space="preserve"> P.O. Box 41170 </w:t>
    </w:r>
    <w:r w:rsidRPr="003378BA">
      <w:rPr>
        <w:rFonts w:ascii="Arial" w:hAnsi="Arial" w:cs="Arial"/>
        <w:color w:val="5A2057"/>
        <w:sz w:val="15"/>
        <w:szCs w:val="15"/>
      </w:rPr>
      <w:sym w:font="Symbol" w:char="F0B7"/>
    </w:r>
    <w:r w:rsidRPr="003378BA">
      <w:rPr>
        <w:rFonts w:ascii="Arial" w:hAnsi="Arial" w:cs="Arial"/>
        <w:color w:val="5A2057"/>
        <w:sz w:val="15"/>
        <w:szCs w:val="15"/>
      </w:rPr>
      <w:t xml:space="preserve"> Olympia, WA 98504-1170</w:t>
    </w:r>
  </w:p>
  <w:p w:rsidR="007C1FBF" w:rsidRPr="003378BA" w:rsidRDefault="007C1FBF" w:rsidP="000F70D7">
    <w:pPr>
      <w:jc w:val="center"/>
      <w:rPr>
        <w:color w:val="5A2057"/>
      </w:rPr>
    </w:pPr>
    <w:r w:rsidRPr="003378BA">
      <w:rPr>
        <w:rFonts w:ascii="Arial" w:hAnsi="Arial" w:cs="Arial"/>
        <w:color w:val="5A2057"/>
        <w:sz w:val="15"/>
        <w:szCs w:val="15"/>
      </w:rPr>
      <w:t xml:space="preserve">360-753-3365 </w:t>
    </w:r>
    <w:r w:rsidRPr="003378BA">
      <w:rPr>
        <w:rFonts w:ascii="Arial" w:hAnsi="Arial" w:cs="Arial"/>
        <w:color w:val="5A2057"/>
        <w:sz w:val="15"/>
        <w:szCs w:val="15"/>
      </w:rPr>
      <w:sym w:font="Symbol" w:char="F0B7"/>
    </w:r>
    <w:r w:rsidRPr="003378BA">
      <w:rPr>
        <w:rFonts w:ascii="Arial" w:hAnsi="Arial" w:cs="Arial"/>
        <w:color w:val="5A2057"/>
        <w:sz w:val="15"/>
        <w:szCs w:val="15"/>
      </w:rPr>
      <w:t xml:space="preserve"> 360-956-5700 Fax </w:t>
    </w:r>
    <w:r w:rsidRPr="003378BA">
      <w:rPr>
        <w:rFonts w:ascii="Arial" w:hAnsi="Arial" w:cs="Arial"/>
        <w:color w:val="5A2057"/>
        <w:sz w:val="15"/>
        <w:szCs w:val="15"/>
      </w:rPr>
      <w:sym w:font="Symbol" w:char="F0B7"/>
    </w:r>
    <w:r w:rsidRPr="003378BA">
      <w:rPr>
        <w:rFonts w:ascii="Arial" w:hAnsi="Arial" w:cs="Arial"/>
        <w:color w:val="5A2057"/>
        <w:sz w:val="15"/>
        <w:szCs w:val="15"/>
      </w:rPr>
      <w:t xml:space="preserve"> www.courts.wa.gov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DF" w:rsidRDefault="00564CDF">
      <w:r>
        <w:separator/>
      </w:r>
    </w:p>
  </w:footnote>
  <w:footnote w:type="continuationSeparator" w:id="0">
    <w:p w:rsidR="00564CDF" w:rsidRDefault="0056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BF" w:rsidRPr="007C1FBF" w:rsidRDefault="007C1FBF" w:rsidP="007C1FBF">
    <w:pPr>
      <w:tabs>
        <w:tab w:val="center" w:pos="4680"/>
        <w:tab w:val="right" w:pos="9360"/>
      </w:tabs>
      <w:rPr>
        <w:rFonts w:ascii="Arial" w:eastAsia="Calibri" w:hAnsi="Arial" w:cs="Arial"/>
        <w:szCs w:val="22"/>
      </w:rPr>
    </w:pPr>
    <w:r w:rsidRPr="007C1FBF">
      <w:rPr>
        <w:rFonts w:ascii="Arial" w:eastAsia="Calibri" w:hAnsi="Arial" w:cs="Arial"/>
        <w:szCs w:val="22"/>
      </w:rPr>
      <w:t>Judicial and Legal Communities</w:t>
    </w:r>
  </w:p>
  <w:p w:rsidR="007C1FBF" w:rsidRDefault="007C1FBF" w:rsidP="00EF09E8">
    <w:pPr>
      <w:tabs>
        <w:tab w:val="center" w:pos="4680"/>
        <w:tab w:val="right" w:pos="9360"/>
      </w:tabs>
      <w:rPr>
        <w:rFonts w:ascii="Arial" w:eastAsia="Calibri" w:hAnsi="Arial" w:cs="Arial"/>
        <w:szCs w:val="22"/>
      </w:rPr>
    </w:pPr>
    <w:r w:rsidRPr="007C1FBF">
      <w:rPr>
        <w:rFonts w:ascii="Arial" w:eastAsia="Calibri" w:hAnsi="Arial" w:cs="Arial"/>
        <w:szCs w:val="22"/>
      </w:rPr>
      <w:t>June 29, 2018</w:t>
    </w:r>
  </w:p>
  <w:p w:rsidR="00EF09E8" w:rsidRDefault="00EF09E8" w:rsidP="00EF09E8">
    <w:pPr>
      <w:tabs>
        <w:tab w:val="center" w:pos="4680"/>
        <w:tab w:val="right" w:pos="9360"/>
      </w:tabs>
      <w:rPr>
        <w:rFonts w:ascii="Arial" w:eastAsia="Calibri" w:hAnsi="Arial" w:cs="Arial"/>
        <w:bCs/>
        <w:szCs w:val="22"/>
      </w:rPr>
    </w:pPr>
    <w:r w:rsidRPr="00EF09E8">
      <w:rPr>
        <w:rFonts w:ascii="Arial" w:eastAsia="Calibri" w:hAnsi="Arial" w:cs="Arial"/>
        <w:szCs w:val="22"/>
      </w:rPr>
      <w:t xml:space="preserve">Page </w:t>
    </w:r>
    <w:r w:rsidRPr="00EF09E8">
      <w:rPr>
        <w:rFonts w:ascii="Arial" w:eastAsia="Calibri" w:hAnsi="Arial" w:cs="Arial"/>
        <w:bCs/>
        <w:szCs w:val="22"/>
      </w:rPr>
      <w:fldChar w:fldCharType="begin"/>
    </w:r>
    <w:r w:rsidRPr="00EF09E8">
      <w:rPr>
        <w:rFonts w:ascii="Arial" w:eastAsia="Calibri" w:hAnsi="Arial" w:cs="Arial"/>
        <w:bCs/>
        <w:szCs w:val="22"/>
      </w:rPr>
      <w:instrText xml:space="preserve"> PAGE  \* Arabic  \* MERGEFORMAT </w:instrText>
    </w:r>
    <w:r w:rsidRPr="00EF09E8">
      <w:rPr>
        <w:rFonts w:ascii="Arial" w:eastAsia="Calibri" w:hAnsi="Arial" w:cs="Arial"/>
        <w:bCs/>
        <w:szCs w:val="22"/>
      </w:rPr>
      <w:fldChar w:fldCharType="separate"/>
    </w:r>
    <w:r>
      <w:rPr>
        <w:rFonts w:ascii="Arial" w:eastAsia="Calibri" w:hAnsi="Arial" w:cs="Arial"/>
        <w:bCs/>
        <w:noProof/>
        <w:szCs w:val="22"/>
      </w:rPr>
      <w:t>5</w:t>
    </w:r>
    <w:r w:rsidRPr="00EF09E8">
      <w:rPr>
        <w:rFonts w:ascii="Arial" w:eastAsia="Calibri" w:hAnsi="Arial" w:cs="Arial"/>
        <w:bCs/>
        <w:szCs w:val="22"/>
      </w:rPr>
      <w:fldChar w:fldCharType="end"/>
    </w:r>
    <w:r w:rsidRPr="00EF09E8">
      <w:rPr>
        <w:rFonts w:ascii="Arial" w:eastAsia="Calibri" w:hAnsi="Arial" w:cs="Arial"/>
        <w:szCs w:val="22"/>
      </w:rPr>
      <w:t xml:space="preserve"> of </w:t>
    </w:r>
    <w:r w:rsidRPr="00EF09E8">
      <w:rPr>
        <w:rFonts w:ascii="Arial" w:eastAsia="Calibri" w:hAnsi="Arial" w:cs="Arial"/>
        <w:bCs/>
        <w:szCs w:val="22"/>
      </w:rPr>
      <w:fldChar w:fldCharType="begin"/>
    </w:r>
    <w:r w:rsidRPr="00EF09E8">
      <w:rPr>
        <w:rFonts w:ascii="Arial" w:eastAsia="Calibri" w:hAnsi="Arial" w:cs="Arial"/>
        <w:bCs/>
        <w:szCs w:val="22"/>
      </w:rPr>
      <w:instrText xml:space="preserve"> NUMPAGES  \* Arabic  \* MERGEFORMAT </w:instrText>
    </w:r>
    <w:r w:rsidRPr="00EF09E8">
      <w:rPr>
        <w:rFonts w:ascii="Arial" w:eastAsia="Calibri" w:hAnsi="Arial" w:cs="Arial"/>
        <w:bCs/>
        <w:szCs w:val="22"/>
      </w:rPr>
      <w:fldChar w:fldCharType="separate"/>
    </w:r>
    <w:r>
      <w:rPr>
        <w:rFonts w:ascii="Arial" w:eastAsia="Calibri" w:hAnsi="Arial" w:cs="Arial"/>
        <w:bCs/>
        <w:noProof/>
        <w:szCs w:val="22"/>
      </w:rPr>
      <w:t>5</w:t>
    </w:r>
    <w:r w:rsidRPr="00EF09E8">
      <w:rPr>
        <w:rFonts w:ascii="Arial" w:eastAsia="Calibri" w:hAnsi="Arial" w:cs="Arial"/>
        <w:bCs/>
        <w:szCs w:val="22"/>
      </w:rPr>
      <w:fldChar w:fldCharType="end"/>
    </w:r>
  </w:p>
  <w:p w:rsidR="00EF09E8" w:rsidRPr="00EF09E8" w:rsidRDefault="00EF09E8" w:rsidP="00EF09E8">
    <w:pPr>
      <w:tabs>
        <w:tab w:val="center" w:pos="4680"/>
        <w:tab w:val="right" w:pos="9360"/>
      </w:tabs>
      <w:rPr>
        <w:rFonts w:ascii="Arial" w:eastAsia="Calibri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BDB"/>
    <w:multiLevelType w:val="hybridMultilevel"/>
    <w:tmpl w:val="6426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22B"/>
    <w:multiLevelType w:val="hybridMultilevel"/>
    <w:tmpl w:val="E558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1F"/>
    <w:rsid w:val="00013D2E"/>
    <w:rsid w:val="00060868"/>
    <w:rsid w:val="00072369"/>
    <w:rsid w:val="000768FF"/>
    <w:rsid w:val="00085257"/>
    <w:rsid w:val="0008529F"/>
    <w:rsid w:val="00095694"/>
    <w:rsid w:val="000C355C"/>
    <w:rsid w:val="000C424B"/>
    <w:rsid w:val="000F70D7"/>
    <w:rsid w:val="0017280A"/>
    <w:rsid w:val="00172C9D"/>
    <w:rsid w:val="0018104C"/>
    <w:rsid w:val="00181347"/>
    <w:rsid w:val="001B18BE"/>
    <w:rsid w:val="001B316E"/>
    <w:rsid w:val="001D5572"/>
    <w:rsid w:val="0021115C"/>
    <w:rsid w:val="00245DBF"/>
    <w:rsid w:val="0028157E"/>
    <w:rsid w:val="002929F2"/>
    <w:rsid w:val="002A5E5A"/>
    <w:rsid w:val="002A6910"/>
    <w:rsid w:val="00314139"/>
    <w:rsid w:val="00335026"/>
    <w:rsid w:val="003378BA"/>
    <w:rsid w:val="003523A9"/>
    <w:rsid w:val="003858EA"/>
    <w:rsid w:val="003A1E85"/>
    <w:rsid w:val="00412EC6"/>
    <w:rsid w:val="004A1F58"/>
    <w:rsid w:val="004B5A35"/>
    <w:rsid w:val="004E70B1"/>
    <w:rsid w:val="004F628A"/>
    <w:rsid w:val="00516CCB"/>
    <w:rsid w:val="00525D02"/>
    <w:rsid w:val="00545879"/>
    <w:rsid w:val="00564CDF"/>
    <w:rsid w:val="005716CA"/>
    <w:rsid w:val="0057698D"/>
    <w:rsid w:val="0058719F"/>
    <w:rsid w:val="005B6EC9"/>
    <w:rsid w:val="005F310E"/>
    <w:rsid w:val="0061206D"/>
    <w:rsid w:val="006F521A"/>
    <w:rsid w:val="00740A13"/>
    <w:rsid w:val="0075222C"/>
    <w:rsid w:val="007642F1"/>
    <w:rsid w:val="00791864"/>
    <w:rsid w:val="007C1FBF"/>
    <w:rsid w:val="00810E96"/>
    <w:rsid w:val="008878EA"/>
    <w:rsid w:val="008D3128"/>
    <w:rsid w:val="008E324D"/>
    <w:rsid w:val="008E62A2"/>
    <w:rsid w:val="00944608"/>
    <w:rsid w:val="009938CB"/>
    <w:rsid w:val="00A26CEA"/>
    <w:rsid w:val="00A62B29"/>
    <w:rsid w:val="00AA4424"/>
    <w:rsid w:val="00AF6854"/>
    <w:rsid w:val="00B33AFE"/>
    <w:rsid w:val="00B5379F"/>
    <w:rsid w:val="00B71D48"/>
    <w:rsid w:val="00BB2D33"/>
    <w:rsid w:val="00C142B5"/>
    <w:rsid w:val="00C2621F"/>
    <w:rsid w:val="00C32AC3"/>
    <w:rsid w:val="00C973BD"/>
    <w:rsid w:val="00D077D8"/>
    <w:rsid w:val="00DB7055"/>
    <w:rsid w:val="00DB7464"/>
    <w:rsid w:val="00E370E1"/>
    <w:rsid w:val="00E4285E"/>
    <w:rsid w:val="00EC0F99"/>
    <w:rsid w:val="00EF09E8"/>
    <w:rsid w:val="00F71662"/>
    <w:rsid w:val="00F813E4"/>
    <w:rsid w:val="00F8797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ACBA0-DF73-44ED-A3D1-04A64FD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5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50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026"/>
    <w:pPr>
      <w:tabs>
        <w:tab w:val="center" w:pos="4320"/>
        <w:tab w:val="right" w:pos="8640"/>
      </w:tabs>
    </w:pPr>
  </w:style>
  <w:style w:type="character" w:styleId="Hyperlink">
    <w:name w:val="Hyperlink"/>
    <w:rsid w:val="0033502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C1FBF"/>
    <w:rPr>
      <w:rFonts w:ascii="Arial" w:eastAsia="Calibri" w:hAnsi="Arial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ATA\KARENC\Templates\AO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B866-938A-42D2-B2DC-E08F4330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AOCLetterhead.dotx</Template>
  <TotalTime>16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Supreme Court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Karen Castillo</dc:creator>
  <cp:keywords/>
  <dc:description/>
  <cp:lastModifiedBy>Velthuysen, Sherrie</cp:lastModifiedBy>
  <cp:revision>3</cp:revision>
  <cp:lastPrinted>2009-06-09T18:38:00Z</cp:lastPrinted>
  <dcterms:created xsi:type="dcterms:W3CDTF">2018-07-02T18:12:00Z</dcterms:created>
  <dcterms:modified xsi:type="dcterms:W3CDTF">2018-07-02T18:30:00Z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000</vt:lpwstr>
  </property>
</Properties>
</file>